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4"/>
        </w:rPr>
        <w:t>INTEGRATED INFRASTRUCTURE, LAND &amp; PROJECT DEVELOPMENT SOLUTIONS</w:t>
      </w:r>
    </w:p>
    <w:p>
      <w:pPr>
        <w:jc w:val="center"/>
      </w:pPr>
      <w:r>
        <w:rPr>
          <w:i/>
          <w:sz w:val="22"/>
        </w:rPr>
        <w:t>Company Profile</w:t>
      </w:r>
    </w:p>
    <w:p>
      <w:pPr>
        <w:spacing w:before="140" w:after="60"/>
      </w:pPr>
      <w:r>
        <w:rPr>
          <w:b/>
          <w:sz w:val="24"/>
        </w:rPr>
        <w:t>ABOUT US</w:t>
      </w:r>
    </w:p>
    <w:p>
      <w:pPr>
        <w:spacing w:after="80" w:line="252" w:lineRule="auto"/>
      </w:pPr>
      <w:r>
        <w:t>Sri Avtar Infracon Pvt. Ltd. is an infrastructure and project development company providing end-to-end solutions for industrial, infrastructure, real estate and railway-connected projects. The company combines expertise in land procurement, statutory approvals, government liaison, civil construction and project development to deliver complex projects efficiently and professionally.</w:t>
      </w:r>
    </w:p>
    <w:p>
      <w:pPr>
        <w:spacing w:after="80" w:line="252" w:lineRule="auto"/>
      </w:pPr>
      <w:r>
        <w:t>Our core strength is our ability to manage projects from initial land identification and procurement through statutory approvals, infrastructure development and final execution, with close coordination with government departments, local authorities, regulatory agencies and Indian Railways.</w:t>
      </w:r>
    </w:p>
    <w:p>
      <w:pPr>
        <w:spacing w:before="140" w:after="60"/>
      </w:pPr>
      <w:r>
        <w:rPr>
          <w:b/>
          <w:sz w:val="24"/>
        </w:rPr>
        <w:t>OUR KEY AREAS OF EXPERTISE</w:t>
      </w:r>
    </w:p>
    <w:p>
      <w:pPr>
        <w:spacing w:before="140" w:after="60"/>
      </w:pPr>
      <w:r>
        <w:rPr>
          <w:b/>
          <w:sz w:val="24"/>
        </w:rPr>
        <w:t>1. Industrial Land Procurement &amp; Development</w:t>
      </w:r>
    </w:p>
    <w:p>
      <w:pPr>
        <w:pStyle w:val="ListBullet"/>
        <w:spacing w:after="20"/>
      </w:pPr>
      <w:r>
        <w:t>Identification and assessment of suitable land parcels</w:t>
      </w:r>
    </w:p>
    <w:p>
      <w:pPr>
        <w:pStyle w:val="ListBullet"/>
        <w:spacing w:after="20"/>
      </w:pPr>
      <w:r>
        <w:t>Landowner coordination and negotiations</w:t>
      </w:r>
    </w:p>
    <w:p>
      <w:pPr>
        <w:pStyle w:val="ListBullet"/>
        <w:spacing w:after="20"/>
      </w:pPr>
      <w:r>
        <w:t>Title and revenue-document coordination</w:t>
      </w:r>
    </w:p>
    <w:p>
      <w:pPr>
        <w:pStyle w:val="ListBullet"/>
        <w:spacing w:after="20"/>
      </w:pPr>
      <w:r>
        <w:t>Land purchase, registration and mutation support</w:t>
      </w:r>
    </w:p>
    <w:p>
      <w:pPr>
        <w:pStyle w:val="ListBullet"/>
        <w:spacing w:after="20"/>
      </w:pPr>
      <w:r>
        <w:t>Consolidation of land parcels for large industrial projects</w:t>
      </w:r>
    </w:p>
    <w:p>
      <w:pPr>
        <w:pStyle w:val="ListBullet"/>
        <w:spacing w:after="20"/>
      </w:pPr>
      <w:r>
        <w:t>Approach-road and connectivity arrangements</w:t>
      </w:r>
    </w:p>
    <w:p>
      <w:pPr>
        <w:pStyle w:val="ListBullet"/>
        <w:spacing w:after="20"/>
      </w:pPr>
      <w:r>
        <w:t>Development of land for industrial use</w:t>
      </w:r>
    </w:p>
    <w:p>
      <w:pPr>
        <w:spacing w:before="140" w:after="60"/>
      </w:pPr>
      <w:r>
        <w:rPr>
          <w:b/>
          <w:sz w:val="24"/>
        </w:rPr>
        <w:t>2. Environmental &amp; Statutory Approvals</w:t>
      </w:r>
    </w:p>
    <w:p>
      <w:pPr>
        <w:pStyle w:val="ListBullet"/>
        <w:spacing w:after="20"/>
      </w:pPr>
      <w:r>
        <w:t>Environmental Clearance (EC)</w:t>
      </w:r>
    </w:p>
    <w:p>
      <w:pPr>
        <w:pStyle w:val="ListBullet"/>
        <w:spacing w:after="20"/>
      </w:pPr>
      <w:r>
        <w:t>Environmental documentation and approval coordination</w:t>
      </w:r>
    </w:p>
    <w:p>
      <w:pPr>
        <w:pStyle w:val="ListBullet"/>
        <w:spacing w:after="20"/>
      </w:pPr>
      <w:r>
        <w:t>Public Hearing coordination</w:t>
      </w:r>
    </w:p>
    <w:p>
      <w:pPr>
        <w:pStyle w:val="ListBullet"/>
        <w:spacing w:after="20"/>
      </w:pPr>
      <w:r>
        <w:t>Consent and regulatory approvals</w:t>
      </w:r>
    </w:p>
    <w:p>
      <w:pPr>
        <w:pStyle w:val="ListBullet"/>
        <w:spacing w:after="20"/>
      </w:pPr>
      <w:r>
        <w:t>Change/Conversion of Land Use (CLU)</w:t>
      </w:r>
    </w:p>
    <w:p>
      <w:pPr>
        <w:pStyle w:val="ListBullet"/>
        <w:spacing w:after="20"/>
      </w:pPr>
      <w:r>
        <w:t>Revenue and local authority permissions</w:t>
      </w:r>
    </w:p>
    <w:p>
      <w:pPr>
        <w:pStyle w:val="ListBullet"/>
        <w:spacing w:after="20"/>
      </w:pPr>
      <w:r>
        <w:t>Coordination with concerned government departments and regulatory agencies</w:t>
      </w:r>
    </w:p>
    <w:p>
      <w:pPr>
        <w:spacing w:before="140" w:after="60"/>
      </w:pPr>
      <w:r>
        <w:rPr>
          <w:b/>
          <w:sz w:val="24"/>
        </w:rPr>
        <w:t>3. Forest Clearance &amp; Compensatory Afforestation</w:t>
      </w:r>
    </w:p>
    <w:p>
      <w:pPr>
        <w:pStyle w:val="ListBullet"/>
        <w:spacing w:after="20"/>
      </w:pPr>
      <w:r>
        <w:t>Identification and procurement of suitable Compensatory Afforestation (CA) land</w:t>
      </w:r>
    </w:p>
    <w:p>
      <w:pPr>
        <w:pStyle w:val="ListBullet"/>
        <w:spacing w:after="20"/>
      </w:pPr>
      <w:r>
        <w:t>Coordination with Forest Department officials</w:t>
      </w:r>
    </w:p>
    <w:p>
      <w:pPr>
        <w:pStyle w:val="ListBullet"/>
        <w:spacing w:after="20"/>
      </w:pPr>
      <w:r>
        <w:t>DGPS survey and preparation of land records</w:t>
      </w:r>
    </w:p>
    <w:p>
      <w:pPr>
        <w:pStyle w:val="ListBullet"/>
        <w:spacing w:after="20"/>
      </w:pPr>
      <w:r>
        <w:t>Land suitability and verification process</w:t>
      </w:r>
    </w:p>
    <w:p>
      <w:pPr>
        <w:pStyle w:val="ListBullet"/>
        <w:spacing w:after="20"/>
      </w:pPr>
      <w:r>
        <w:t>RCC boundary pillaring and demarcation</w:t>
      </w:r>
    </w:p>
    <w:p>
      <w:pPr>
        <w:pStyle w:val="ListBullet"/>
        <w:spacing w:after="20"/>
      </w:pPr>
      <w:r>
        <w:t>Revenue NOC and related documentation</w:t>
      </w:r>
    </w:p>
    <w:p>
      <w:pPr>
        <w:pStyle w:val="ListBullet"/>
        <w:spacing w:after="20"/>
      </w:pPr>
      <w:r>
        <w:t>Registration and mutation of CA land in favour of the Forest Department</w:t>
      </w:r>
    </w:p>
    <w:p>
      <w:pPr>
        <w:pStyle w:val="ListBullet"/>
        <w:spacing w:after="20"/>
      </w:pPr>
      <w:r>
        <w:t>Coordination for Stage-I and Stage-II Forest Clearance requirements</w:t>
      </w:r>
    </w:p>
    <w:p>
      <w:pPr>
        <w:spacing w:before="140" w:after="60"/>
      </w:pPr>
      <w:r>
        <w:rPr>
          <w:b/>
          <w:sz w:val="24"/>
        </w:rPr>
        <w:t>4. Industrial Infrastructure &amp; Civil Works</w:t>
      </w:r>
    </w:p>
    <w:p>
      <w:pPr>
        <w:pStyle w:val="ListBullet"/>
        <w:spacing w:after="20"/>
      </w:pPr>
      <w:r>
        <w:t>Boundary wall construction</w:t>
      </w:r>
    </w:p>
    <w:p>
      <w:pPr>
        <w:pStyle w:val="ListBullet"/>
        <w:spacing w:after="20"/>
      </w:pPr>
      <w:r>
        <w:t>Internal roads and plant roads</w:t>
      </w:r>
    </w:p>
    <w:p>
      <w:pPr>
        <w:pStyle w:val="ListBullet"/>
        <w:spacing w:after="20"/>
      </w:pPr>
      <w:r>
        <w:t>Approach and access roads</w:t>
      </w:r>
    </w:p>
    <w:p>
      <w:pPr>
        <w:pStyle w:val="ListBullet"/>
        <w:spacing w:after="20"/>
      </w:pPr>
      <w:r>
        <w:t>Earthwork and site development</w:t>
      </w:r>
    </w:p>
    <w:p>
      <w:pPr>
        <w:pStyle w:val="ListBullet"/>
        <w:spacing w:after="20"/>
      </w:pPr>
      <w:r>
        <w:t>Drainage and associated civil works</w:t>
      </w:r>
    </w:p>
    <w:p>
      <w:pPr>
        <w:pStyle w:val="ListBullet"/>
        <w:spacing w:after="20"/>
      </w:pPr>
      <w:r>
        <w:t>Land development and grading</w:t>
      </w:r>
    </w:p>
    <w:p>
      <w:pPr>
        <w:pStyle w:val="ListBullet"/>
        <w:spacing w:after="20"/>
      </w:pPr>
      <w:r>
        <w:t>Infrastructure required for plant and industrial facilities</w:t>
      </w:r>
    </w:p>
    <w:p>
      <w:pPr>
        <w:spacing w:before="140" w:after="60"/>
      </w:pPr>
      <w:r>
        <w:rPr>
          <w:b/>
          <w:sz w:val="24"/>
        </w:rPr>
        <w:t>5. Railway Siding &amp; Private GCT Development</w:t>
      </w:r>
    </w:p>
    <w:p>
      <w:pPr>
        <w:spacing w:after="80" w:line="252" w:lineRule="auto"/>
      </w:pPr>
      <w:r>
        <w:t>One of our specialised areas is the complete development of Railway Sidings and Private Goods/General Cargo Terminals (Private GCT) for industrial projects.</w:t>
      </w:r>
    </w:p>
    <w:p>
      <w:pPr>
        <w:pStyle w:val="ListBullet"/>
        <w:spacing w:after="20"/>
      </w:pPr>
      <w:r>
        <w:t>Feasibility and site assessment</w:t>
      </w:r>
    </w:p>
    <w:p>
      <w:pPr>
        <w:pStyle w:val="ListBullet"/>
        <w:spacing w:after="20"/>
      </w:pPr>
      <w:r>
        <w:t>Topographical and alignment surveys</w:t>
      </w:r>
    </w:p>
    <w:p>
      <w:pPr>
        <w:pStyle w:val="ListBullet"/>
        <w:spacing w:after="20"/>
      </w:pPr>
      <w:r>
        <w:t>Railway siding planning and design coordination</w:t>
      </w:r>
    </w:p>
    <w:p>
      <w:pPr>
        <w:pStyle w:val="ListBullet"/>
        <w:spacing w:after="20"/>
      </w:pPr>
      <w:r>
        <w:t>Preparation of proposals, estimates and BOQs</w:t>
      </w:r>
    </w:p>
    <w:p>
      <w:pPr>
        <w:pStyle w:val="ListBullet"/>
        <w:spacing w:after="20"/>
      </w:pPr>
      <w:r>
        <w:t>Land requirement assessment and procurement</w:t>
      </w:r>
    </w:p>
    <w:p>
      <w:pPr>
        <w:pStyle w:val="ListBullet"/>
        <w:spacing w:after="20"/>
      </w:pPr>
      <w:r>
        <w:t>Railway applications and documentation</w:t>
      </w:r>
    </w:p>
    <w:p>
      <w:pPr>
        <w:pStyle w:val="ListBullet"/>
        <w:spacing w:after="20"/>
      </w:pPr>
      <w:r>
        <w:t>Liaison with Railway Divisions and Headquarters</w:t>
      </w:r>
    </w:p>
    <w:p>
      <w:pPr>
        <w:pStyle w:val="ListBullet"/>
        <w:spacing w:after="20"/>
      </w:pPr>
      <w:r>
        <w:t>Coordination with DRM, Engineering, Operating, S&amp;T, Electrical and other concerned Railway departments</w:t>
      </w:r>
    </w:p>
    <w:p>
      <w:pPr>
        <w:pStyle w:val="ListBullet"/>
        <w:spacing w:after="20"/>
      </w:pPr>
      <w:r>
        <w:t>Approval and sanction processes</w:t>
      </w:r>
    </w:p>
    <w:p>
      <w:pPr>
        <w:pStyle w:val="ListBullet"/>
        <w:spacing w:after="20"/>
      </w:pPr>
      <w:r>
        <w:t>Track layout and turnout planning</w:t>
      </w:r>
    </w:p>
    <w:p>
      <w:pPr>
        <w:pStyle w:val="ListBullet"/>
        <w:spacing w:after="20"/>
      </w:pPr>
      <w:r>
        <w:t>Construction coordination and execution</w:t>
      </w:r>
    </w:p>
    <w:p>
      <w:pPr>
        <w:pStyle w:val="ListBullet"/>
        <w:spacing w:after="20"/>
      </w:pPr>
      <w:r>
        <w:t>Inspection, testing and commissioning support</w:t>
      </w:r>
    </w:p>
    <w:p>
      <w:pPr>
        <w:spacing w:before="140" w:after="60"/>
      </w:pPr>
      <w:r>
        <w:rPr>
          <w:b/>
          <w:sz w:val="24"/>
        </w:rPr>
        <w:t>6. Government &amp; Railway Liaison</w:t>
      </w:r>
    </w:p>
    <w:p>
      <w:pPr>
        <w:spacing w:after="80" w:line="252" w:lineRule="auto"/>
      </w:pPr>
      <w:r>
        <w:t>Our experienced team works closely with government authorities and statutory bodies for obtaining permissions, approvals and clearances. We undertake systematic liaison and coordination with:</w:t>
      </w:r>
    </w:p>
    <w:p>
      <w:pPr>
        <w:pStyle w:val="ListBullet"/>
        <w:spacing w:after="20"/>
      </w:pPr>
      <w:r>
        <w:t>District Administration, Revenue Department, Tehsil and local authorities</w:t>
      </w:r>
    </w:p>
    <w:p>
      <w:pPr>
        <w:pStyle w:val="ListBullet"/>
        <w:spacing w:after="20"/>
      </w:pPr>
      <w:r>
        <w:t>Forest Department and environment-related authorities</w:t>
      </w:r>
    </w:p>
    <w:p>
      <w:pPr>
        <w:pStyle w:val="ListBullet"/>
        <w:spacing w:after="20"/>
      </w:pPr>
      <w:r>
        <w:t>Pollution Control authorities</w:t>
      </w:r>
    </w:p>
    <w:p>
      <w:pPr>
        <w:pStyle w:val="ListBullet"/>
        <w:spacing w:after="20"/>
      </w:pPr>
      <w:r>
        <w:t>Development authorities, PWD and other engineering departments</w:t>
      </w:r>
    </w:p>
    <w:p>
      <w:pPr>
        <w:pStyle w:val="ListBullet"/>
        <w:spacing w:after="20"/>
      </w:pPr>
      <w:r>
        <w:t>Gram Panchayat and local administrative bodies</w:t>
      </w:r>
    </w:p>
    <w:p>
      <w:pPr>
        <w:pStyle w:val="ListBullet"/>
        <w:spacing w:after="20"/>
      </w:pPr>
      <w:r>
        <w:t>Indian Railways and concerned Railway Divisions</w:t>
      </w:r>
    </w:p>
    <w:p>
      <w:pPr>
        <w:pStyle w:val="ListBullet"/>
        <w:spacing w:after="20"/>
      </w:pPr>
      <w:r>
        <w:t>Other Central and State Government departments</w:t>
      </w:r>
    </w:p>
    <w:p>
      <w:pPr>
        <w:spacing w:after="80" w:line="252" w:lineRule="auto"/>
      </w:pPr>
      <w:r>
        <w:t>Our objective is to ensure proper documentation, timely follow-up, inter-departmental coordination and smooth progression of projects.</w:t>
      </w:r>
    </w:p>
    <w:p>
      <w:pPr>
        <w:spacing w:before="140" w:after="60"/>
      </w:pPr>
      <w:r>
        <w:rPr>
          <w:b/>
          <w:sz w:val="24"/>
        </w:rPr>
        <w:t>REAL ESTATE, HOUSING &amp; TOWNSHIP DEVELOPMENT</w:t>
      </w:r>
    </w:p>
    <w:p>
      <w:pPr>
        <w:spacing w:after="80" w:line="252" w:lineRule="auto"/>
      </w:pPr>
      <w:r>
        <w:t>In addition to industrial and infrastructure projects, Sri Avtar Infracon Pvt. Ltd. has successfully completed several housing and residential development projects. Our experience includes residential housing projects, land development, internal roads and drainage, boundary and site infrastructure, layout development, coordination with local authorities, and project execution and development management.</w:t>
      </w:r>
    </w:p>
    <w:p>
      <w:pPr>
        <w:spacing w:after="80" w:line="252" w:lineRule="auto"/>
      </w:pPr>
      <w:r>
        <w:t>The company is also actively involved in the development of a small township, covering land development, infrastructure planning, internal connectivity and associated development activities.</w:t>
      </w:r>
    </w:p>
    <w:p>
      <w:pPr>
        <w:spacing w:before="140" w:after="60"/>
      </w:pPr>
      <w:r>
        <w:rPr>
          <w:b/>
          <w:sz w:val="24"/>
        </w:rPr>
        <w:t>OUR INTEGRATED PROJECT APPROACH</w:t>
      </w:r>
    </w:p>
    <w:p>
      <w:pPr>
        <w:spacing w:after="80" w:line="252" w:lineRule="auto"/>
      </w:pPr>
      <w:r>
        <w:t>Sri Avtar Infracon operates on the principle of providing clients with a single integrated platform for land, approvals, liaison, infrastructure and project execution.</w:t>
      </w:r>
    </w:p>
    <w:p>
      <w:pPr>
        <w:jc w:val="center"/>
      </w:pPr>
      <w:r>
        <w:rPr>
          <w:b/>
          <w:sz w:val="19"/>
        </w:rPr>
        <w:t>LAND PROCUREMENT → STATUTORY APPROVALS → ENVIRONMENTAL CLEARANCE → LAND USE CONVERSION → FOREST CLEARANCE → GOVERNMENT LIAISON → RAILWAY APPROVALS → BOUNDARY &amp; INFRASTRUCTURE DEVELOPMENT → RAILWAY SIDING / PRIVATE GCT → PROJECT EXECUTION</w:t>
      </w:r>
    </w:p>
    <w:p>
      <w:pPr>
        <w:spacing w:before="140" w:after="60"/>
      </w:pPr>
      <w:r>
        <w:rPr>
          <w:b/>
          <w:sz w:val="24"/>
        </w:rPr>
        <w:t>OUR COMMITMENT</w:t>
      </w:r>
    </w:p>
    <w:p>
      <w:pPr>
        <w:spacing w:after="80" w:line="252" w:lineRule="auto"/>
      </w:pPr>
      <w:r>
        <w:t>We are committed to delivering reliable, transparent and result-oriented project solutions with strong emphasis on professional coordination, regulatory compliance, quality execution and timely completion.</w:t>
      </w:r>
    </w:p>
    <w:p>
      <w:pPr>
        <w:spacing w:after="80" w:line="252" w:lineRule="auto"/>
      </w:pPr>
      <w:r>
        <w:t>With experience across industrial land development, statutory approvals, environmental and forest clearances, government liaison, civil infrastructure, railway siding/private GCT development, housing projects and township development, Sri Avtar Infracon Pvt. Ltd. aims to be a trusted development and project-support partner for industrial and infrastructure companies.</w:t>
      </w:r>
    </w:p>
    <w:p>
      <w:pPr>
        <w:spacing w:before="200"/>
        <w:jc w:val="center"/>
      </w:pPr>
      <w:r>
        <w:rPr>
          <w:b/>
          <w:sz w:val="24"/>
        </w:rPr>
        <w:t>“FROM LAND TO INFRASTRUCTURE – FROM APPROVALS TO EXECUTION.”</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Sri Avtar Infracon Pvt. Ltd. | Company Profile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sz w:val="30"/>
      </w:rPr>
      <w:t>SRI AVTAR INFRACON PVT. LTD.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